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 العلاقات والارتباطات بين الدول التي لا يمكنها ان تعيش بمعزل عن الدول الاخرى.</w:t>
      </w:r>
    </w:p>
    <w:p>
      <w:pPr/>
      <w:r>
        <w:rPr>
          <w:shd w:val="clear" w:fill="eeee80"/>
        </w:rPr>
        <w:t xml:space="preserve">تزايد عدد الفاعلين في العلاقات الدولية حيث لم يعد هذا المجال حكرا على الدول.</w:t>
      </w:r>
    </w:p>
    <w:p>
      <w:pPr/>
      <w:r>
        <w:rPr/>
        <w:t xml:space="preserve">نمو وتنوع التجارة الدولية بفعل شبكة الاتصالات والمواصلات.تطور السياق نحو التسلح بين الدول في العالم.</w:t>
      </w:r>
    </w:p>
    <w:p>
      <w:pPr/>
      <w:r>
        <w:rPr>
          <w:shd w:val="clear" w:fill="eeee80"/>
        </w:rPr>
        <w:t xml:space="preserve">التأثير المباشر للبيئة الدولية على السياسات الداخلية للدول.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2026-10-20T06:56:18+00:00</dcterms:created>
  <dcterms:modified xsi:type="dcterms:W3CDTF">2026-10-20T06:56:18+00:00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