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فذهب الفقيه )ميشو Michoud )إلى إعطاء األولوية للمصلحة،</w:t>
      </w:r>
    </w:p>
    <w:p>
      <w:pPr/>
      <w:r>
        <w:rPr>
          <w:shd w:val="clear" w:fill="eeee80"/>
        </w:rPr>
        <w:t xml:space="preserve"> حين يعترف إل اردة ما بالقدرة</w:t>
      </w:r>
    </w:p>
    <w:p>
      <w:pPr/>
      <w:r>
        <w:rPr>
          <w:shd w:val="clear" w:fill="eeee80"/>
        </w:rPr>
        <w:t xml:space="preserve">على تمثيل هذه المصلحة والدفاع عنها"،</w:t>
      </w:r>
    </w:p>
    <w:p>
      <w:pPr/>
      <w:r>
        <w:rPr>
          <w:shd w:val="clear" w:fill="eeee80"/>
        </w:rPr>
        <w:t xml:space="preserve"> فتحت لواء المصلحة تتحرك اإلرادة بشكل إيجابي،</w:t>
      </w:r>
    </w:p>
    <w:p>
      <w:pPr/>
      <w:r>
        <w:rPr/>
        <w:t xml:space="preserve">دورها المزدوج في إنشاء الحق أو الدفاع عنه عند االعتداء عليه .أما الفقيه )سالي Saleilles ) فال يجعل اإلرادة تابعة للمصلحة بل يجعلها مستقلة عنها،</w:t>
      </w:r>
    </w:p>
    <w:p>
      <w:pPr/>
      <w:r>
        <w:rPr>
          <w:shd w:val="clear" w:fill="eeee80"/>
        </w:rPr>
        <w:t xml:space="preserve">فتكون لصاحب الحق سلطة شخصية وعليه فالحق عنده هو:" سلطة موضوعة في خدمة مصالح</w:t>
      </w:r>
    </w:p>
    <w:p>
      <w:pPr/>
      <w:r>
        <w:rPr>
          <w:shd w:val="clear" w:fill="eeee80"/>
        </w:rPr>
        <w:t xml:space="preserve">و أما الفقيه )جيلينيك Jellinek ) فقد جعل اإلرادة أعلى من المصلحة،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2026-08-31T14:28:47+00:00</dcterms:created>
  <dcterms:modified xsi:type="dcterms:W3CDTF">2026-08-31T14:28:47+00:00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