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IntroductionCorporate governance plays a crucial role in shaping the financial performance of small and medium-sized enterprises (SMEs), particularly those listed on stock exchanges.By examining key governance structures, practices, and their effects on financial metrics such as profitability, liquidity, and market valuation, the research will provide insights into how governance can be leveraged to improve organizational outcomes in this dynamic sector.Effective corporate governance frameworks ensure that SMEs operate efficiently, align the interests of stakeholders, and minimize risks associated with mismanagement.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