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ثالثا: ترخيص المحتوى</w:t>
      </w:r>
    </w:p>
    <w:p>
      <w:pPr/>
      <w:r>
        <w:rPr/>
        <w:t xml:space="preserve"> مثل غوغل، يمنحه بموجبها حق استخدام محتواه الإعلامي مقابل الحصول على مبالغ مالية. فعلى سبيل المثال: الترخيص الذي يسمح لمحرك البحث غوغل باستخدام عناوين الأخبار أو الأخبار كاملة الخاصة بوكالة أنباء الأسوشيتد برس؛ بالإضافة إلى وسائل إعلام عالمية أبرمت اتفاقيات المشاركة المحتوى الرقمي كالاتفاق الذي يسمح لصحيفة نيويورك تايمز بالوصول إلى محتوى الموقع الإعلامي المختص في مجال التكنولوجيا (TechCrunch)؛ أو منح موقع لوموند الفرنسية حق الولوج الكامل لمحتواه الإعلامي لصحيفة البايس الإسبانية (29).إن الوصول إلى مرحلة ترخيص المحتوى الإعلامي مقابل دفع مبالغ مالية،</w:t>
      </w:r>
    </w:p>
    <w:p>
      <w:pPr/>
      <w:r>
        <w:rPr>
          <w:shd w:val="clear" w:fill="eeee80"/>
        </w:rPr>
        <w:t xml:space="preserve"> يقتضي أن تمتلك المؤسسة الإعلامية ما لا يتوفر</w:t>
      </w:r>
    </w:p>
    <w:p>
      <w:pPr/>
      <w:r>
        <w:rPr>
          <w:shd w:val="clear" w:fill="eeee80"/>
        </w:rPr>
        <w:t xml:space="preserve"> الأمر الذي لا يكون متاحًا لجل وسائل الإعلام في عصر يشهد منافسة كبيرة بين وسائل الإعلام التقليدي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2026-09-13T08:38:02+00:00</dcterms:created>
  <dcterms:modified xsi:type="dcterms:W3CDTF">2026-09-13T08:38:02+00:00</dcterms:modified>
</cp:coreProperties>
</file>

<file path=docProps/custom.xml><?xml version="1.0" encoding="utf-8"?>
<Properties xmlns="http://schemas.openxmlformats.org/officeDocument/2006/custom-properties" xmlns:vt="http://schemas.openxmlformats.org/officeDocument/2006/docPropsVTypes"/>
</file>