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تواجد البليكي في نطاق النقطة الرئيسية لتفتيش السيارات لمدة 25 دقيقة ما قبل الانفجار،</w:t>
      </w:r>
    </w:p>
    <w:p>
      <w:pPr/>
      <w:r>
        <w:rPr>
          <w:shd w:val="clear" w:fill="eeee80"/>
        </w:rPr>
        <w:t xml:space="preserve">وعند اقتراب المركبة الدبلوماسية المستهدفة،</w:t>
      </w:r>
    </w:p>
    <w:p>
      <w:pPr/>
      <w:r>
        <w:rPr>
          <w:shd w:val="clear" w:fill="eeee80"/>
        </w:rPr>
        <w:t xml:space="preserve">قام بتفجير القنبلة بالقرب من السيارة المستهدفة وذلك باستخدام متفجرات من نوع ثلاثي الاسيتون ثلاثي فوق اكسيد الكربون،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2026-08-22T21:13:54+00:00</dcterms:created>
  <dcterms:modified xsi:type="dcterms:W3CDTF">2026-08-22T21:13:54+00:00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