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Basel IV tightens the reins on IRB by introducing theoutput floor.</w:t>
      </w:r>
    </w:p>
    <w:p>
      <w:pPr/>
      <w:r>
        <w:rPr/>
        <w:t xml:space="preserve"> A bank's IRB-calculated capital needscannot fall below 72 5% of what the standardizedapproach dictates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2026-10-06T18:27:47+00:00</dcterms:created>
  <dcterms:modified xsi:type="dcterms:W3CDTF">2026-10-06T18:27:47+00:00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