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ولن تحدث التغييرات أو الأفكار الجديدة في عملية تخطيط المنهج دون حدوث مواجهة حقيقية للعقبات والمشكلات القائمة من جهة،  ودون القيام بعملية تحد الفشل من جهة،  وتحد المعارضي التجديد أو التطوير من جهة ثانية. 2 - العمل على تحييد العوامل التي تؤدي إلى اتخاذ الأفراد والجماعات مواقف وقرارات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