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التضخم مشكلة اقتصادية تصيب اقتصاديات البلدان</w:t>
      </w:r>
    </w:p>
    <w:p>
      <w:pPr/>
      <w:r>
        <w:rPr>
          <w:shd w:val="clear" w:fill="eeee80"/>
        </w:rPr>
        <w:t xml:space="preserve">التضخم على اقتصاديات البلدان كلما توافرت البيئة</w:t>
      </w:r>
    </w:p>
    <w:p>
      <w:pPr/>
      <w:r>
        <w:rPr/>
        <w:t xml:space="preserve">المناسبة لتنامي الضغوط التضخمية في االقتصاد،والتي تعتمد في تأثيرها على مجموعة من العواملالتضخمية ودفع مستويات األسعار المحلية نحوويعد االقتصاد اليمني أحد االقتصاديات .</w:t>
      </w:r>
    </w:p>
    <w:p>
      <w:pPr/>
      <w:r>
        <w:rPr>
          <w:shd w:val="clear" w:fill="eeee80"/>
        </w:rPr>
        <w:t xml:space="preserve">التي مثلت بيئة مناسبة لتنامي الضغوط التضخمية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2026-10-21T12:04:47+00:00</dcterms:created>
  <dcterms:modified xsi:type="dcterms:W3CDTF">2026-10-21T12:04:47+00:00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