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يصعب على الملم بقضايا الادب العربي الى القرن الرابع،</w:t>
      </w:r>
    </w:p>
    <w:p>
      <w:pPr/>
      <w:r>
        <w:rPr>
          <w:shd w:val="clear" w:fill="eeee80"/>
        </w:rPr>
        <w:t xml:space="preserve">العارف باهم نصوصه ان يتبين ان بروز المقامة كان بدعة ادبية تكاد من فرط تميزهاعن انماطالكتابة المعهودة تكون ناجمة عن غيراصل.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2026-08-19T21:01:02+00:00</dcterms:created>
  <dcterms:modified xsi:type="dcterms:W3CDTF">2026-08-19T21:01:02+00:00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