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خمس شركات ومنشآت صرافة،  في إطار تصعيد اقتصادي مستمر يستهدف المؤسسات المالية غير التابعة للمحسوبين على الجماعة في مناطق سيطرتها. وبحسب تعميم صادر عن جمعية الصرافين في صنعاء،  وجَّه البنك المركزي في صنعاء بـ«عدم التعامل مع: شركة الحجي للصرافة،  شركة أبو الحارث للصرافة، وأوضح تعميم جمعية الصرافين أن قرار حظر وإيقاف الشركات الخمس جاء بحجة «ارتكابها مخالفات مالية لتعليمات البنك في صنعاء». وتأتي هذه الإجراءات الحوثية في ظل حرب اقتصادية تستهدف الشركات والمؤسسات المالية غير التابعة لقيادات المليشيا،  فضلًا عن إجراءات أوسع لمواجهة الإصلاحات الحكومية والمعالجات التي اتخذها البنك المركزي اليمني في عدن لمعالجة تشوهات الانقسام،  قرارات بإيقاف 13 شركة ومنشأة صرافة بذريعة «مخالفة التعليمات».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