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مسؤول عن مراجعة القوائم المالية الأولية وفق مبادرة التحول الى أساس الاستحقاق المحاسبي والمعدة من قبل الاستشاري الخارجي بالإضافة الى عضوية لجنة التحول الى أساس الاستحقاق المحاسبي ولجنة حصر الأصول والالتزامات وفق أساس الاستحقاق بالإضافة الى لجنة اعداد التقارير المالية والارصدة الافتتاحية وفق أساس الاستحقاق،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2026-09-27T19:12:28+00:00</dcterms:created>
  <dcterms:modified xsi:type="dcterms:W3CDTF">2026-09-27T19:12:28+00:00</dcterms:modified>
</cp:coreProperties>
</file>

<file path=docProps/custom.xml><?xml version="1.0" encoding="utf-8"?>
<Properties xmlns="http://schemas.openxmlformats.org/officeDocument/2006/custom-properties" xmlns:vt="http://schemas.openxmlformats.org/officeDocument/2006/docPropsVTypes"/>
</file>