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للمجتمع الدولي أيضا دور هام يؤديه في تهيئة بيئة دولية تشجع المرأة على المساواة في الحصول على الموارد الإنتاجية والتحكم فيها، وقد بدأنا هذه الورقة ببعض الملاحظات بشأن السياق الأوسع الذي يؤثر على حقوق المرأة في الأرض بوجه خاص، بما في ذلك ظاهرة الاستيلاء على الأراضي بوجه خاص، وتسليع وخصخصة الموارد الإنتاجية والطبيعية (ما أسماه البعض " المشاعات ") بصورة أعم. وكما لاحظت الشبكة الدولية للحقوق الاقتصادية والاجتماعية والثقافية،</w:t>
      </w:r>
    </w:p>
    <w:p>
      <w:pPr/>
      <w:r>
        <w:rPr>
          <w:shd w:val="clear" w:fill="eeee80"/>
        </w:rPr>
        <w:t xml:space="preserve"> فإن "الخطاب السائد حول الحقوق في الأراضي اتخذ شكل استحقاقات فردية وسلعية في الأرض،</w:t>
      </w:r>
    </w:p>
    <w:p>
      <w:pPr/>
      <w:r>
        <w:rPr>
          <w:shd w:val="clear" w:fill="eeee80"/>
        </w:rPr>
        <w:t xml:space="preserve"> " حيث يتم تصور الوصول والملكية من منظور السوق الليبرالي وتفهم الأرض بشكل ضيق على أنها ملكية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2026-10-08T00:24:59+00:00</dcterms:created>
  <dcterms:modified xsi:type="dcterms:W3CDTF">2026-10-08T00:24:59+00:00</dcterms:modified>
</cp:coreProperties>
</file>

<file path=docProps/custom.xml><?xml version="1.0" encoding="utf-8"?>
<Properties xmlns="http://schemas.openxmlformats.org/officeDocument/2006/custom-properties" xmlns:vt="http://schemas.openxmlformats.org/officeDocument/2006/docPropsVTypes"/>
</file>