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الواقعي والرمزي: وحدة على الرغم من الاختلاف**</w:t>
      </w:r>
    </w:p>
    <w:p>
      <w:pPr/>
      <w:r>
        <w:rPr>
          <w:shd w:val="clear" w:fill="eeee80"/>
        </w:rPr>
        <w:t xml:space="preserve"> للوهلة الأولى،</w:t>
      </w:r>
    </w:p>
    <w:p>
      <w:pPr/>
      <w:r>
        <w:rPr>
          <w:shd w:val="clear" w:fill="eeee80"/>
        </w:rPr>
        <w:t xml:space="preserve"> لكن هذا ليس صحيحًا.</w:t>
      </w:r>
    </w:p>
    <w:p>
      <w:pPr/>
      <w:r>
        <w:rPr>
          <w:shd w:val="clear" w:fill="eeee80"/>
        </w:rPr>
        <w:t xml:space="preserve"> في المقابل،</w:t>
      </w:r>
    </w:p>
    <w:p>
      <w:pPr/>
      <w:r>
        <w:rPr>
          <w:shd w:val="clear" w:fill="eeee80"/>
        </w:rPr>
        <w:t xml:space="preserve"> وبالتالي،</w:t>
      </w:r>
    </w:p>
    <w:p>
      <w:pPr/>
      <w:r>
        <w:rPr>
          <w:shd w:val="clear" w:fill="eeee80"/>
        </w:rPr>
        <w:t xml:space="preserve"> كل واقع ملموس يحمل في طياته إمكانية التحول إلى رمز،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2026-08-27T22:10:44+00:00</dcterms:created>
  <dcterms:modified xsi:type="dcterms:W3CDTF">2026-08-27T22:10:44+00:00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