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يحلل الظروف المعيشية في عدد من الحواضر العالمية اعتمادا على عدد من المؤشرات ويقيس مستوى جاذبيتها بالنسبة للمغتربين؛  لتحافظ بذلك العاصمة الإدارية للمملكة على المركز نفسه الذي حصلت عليه في مؤشر السنة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