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يتمثل في قدرة الفرد على استخدام الأعداد بفاعلية والاستدلال المنطقي الرياضي ,</w:t>
      </w:r>
    </w:p>
    <w:p>
      <w:pPr/>
      <w:r>
        <w:rPr>
          <w:shd w:val="clear" w:fill="eeee80"/>
        </w:rPr>
        <w:t xml:space="preserve"> هو القدرة على إيجاد السبب والنتيجة وإجراء التجارب الرقمية المحكمة ,</w:t>
      </w:r>
    </w:p>
    <w:p>
      <w:pPr/>
      <w:r>
        <w:rPr>
          <w:shd w:val="clear" w:fill="eeee80"/>
        </w:rPr>
        <w:t xml:space="preserve"> واستخلاص النتائج ,</w:t>
      </w:r>
    </w:p>
    <w:p>
      <w:pPr/>
      <w:r>
        <w:rPr>
          <w:shd w:val="clear" w:fill="eeee80"/>
        </w:rPr>
        <w:t xml:space="preserve"> والقدرة على حل المسائل الحسابية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2026-10-07T10:02:03+00:00</dcterms:created>
  <dcterms:modified xsi:type="dcterms:W3CDTF">2026-10-07T10:02:03+00:00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