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الجريان السيلي من أهم المشكلات الجيومورفولوجية التي تهدد منطقة أبها الحضرية.</w:t>
      </w:r>
    </w:p>
    <w:p>
      <w:pPr/>
      <w:r>
        <w:rPr>
          <w:shd w:val="clear" w:fill="eeee80"/>
        </w:rPr>
        <w:t xml:space="preserve">و يهدف هذا البحث إلى إنتاج نموذج يوضح خريطة الجريان السيلي و أخطاره بمنطقة أبها الحضرية و تصنيف أحواض التصريف تبعا لدرجة الخطورة حسب المعاملات اﻟﺟﯾوﻣورﻓوﻟوﺟﯾﺔ و اﻟﻣورﻓوﻣﺗرﯾﺔ و اﻟﮭﯾدروﻟوﺟﯾﺔ،</w:t>
      </w:r>
    </w:p>
    <w:p>
      <w:pPr/>
      <w:r>
        <w:rPr>
          <w:shd w:val="clear" w:fill="eeee80"/>
        </w:rPr>
        <w:t xml:space="preserve">و مع التطور التقني و الثورة المعلوماتية الحديثة و تماشيا مع رؤية المملكة العربية السعودية 2030 تهدف هذه الدراسة إلى الاستفادة من كافة المقومات الجغرافية و منها الأودية التي تعلق عليها الآمال للاستفادة من مياهها و مواردها في إرساء قواعد التنمية المستدامة داخل أي إقليم.</w:t>
      </w:r>
    </w:p>
    <w:p>
      <w:pPr/>
      <w:r>
        <w:rPr>
          <w:shd w:val="clear" w:fill="eeee80"/>
        </w:rPr>
        <w:t xml:space="preserve">و الاعتماد قدر المستطاع على التقنيات الحديثة و نظم المعلومات الجغرافية و نظم إدارة أحواض التصريف في دراسة الجريان السيلي و أخطاره،</w:t>
      </w:r>
    </w:p>
    <w:p>
      <w:pPr/>
      <w:r>
        <w:rPr/>
        <w:t xml:space="preserve"> هذا و قد عانت المملكة خلال السنوات الأخيرة من مخاطر السيول و الأمطار ؛ مما ألحقت أضرارا بالغة في الممتلكات و المنشأت الحيوية و المصالح العامة و الخاصة،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2026-09-25T03:41:28+00:00</dcterms:created>
  <dcterms:modified xsi:type="dcterms:W3CDTF">2026-09-25T03:41:28+00:00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