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للمؤسسة االقتصادية وذلك نظرا لتأثيره على مختلف أنشطة المؤسسة وخاصة من ناحية تأثير هذا الهيكل على القيمة السوقية للمؤسسة الذي يعتبر الهدف الاساسي والاسمي لها )تعظيم القيمة السوقية(.  سواء احتياجات مالية طولية أو قصيرة الاجل،  تمويل بالدين وسعيها الى إيجاد هيكل مالي مناسب وتركيبة مثلى من أجل تحقيق أهدافها المسطرة.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