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choice of stratification technique for posterior composite restorations depends on factors like cavity size, occlusal forces, and aesthetic requirements.</w:t>
      </w:r>
    </w:p>
    <w:p>
      <w:pPr/>
      <w:r>
        <w:rPr/>
        <w:t xml:space="preserve"> Incremental layering remains the most popular due to its balance of aesthetics and strength, while techniques like bulk-fill offer efficiency in time-sensitive scenarios. Stratified and dual-cure layering methods, on the other hand, are preferred when aesthetics and deep cavity restoration are key considerations. </w:t>
      </w:r>
    </w:p>
    <w:p>
      <w:pPr/>
      <w:r>
        <w:rPr>
          <w:shd w:val="clear" w:fill="eeee80"/>
        </w:rPr>
        <w:t xml:space="preserve">Continued research into these techniques ensures more predictable and durable outcomes for patients..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2026-09-07T22:13:59+00:00</dcterms:created>
  <dcterms:modified xsi:type="dcterms:W3CDTF">2026-09-07T22:13:59+00:00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