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كل مؤسسة اقتصادية لتحقيق أهدافها في ظل التقلبات المستمرة في بيئة الأعمال،   وللتفكير فيما ستكون عليه الأوضاع المالية في فترات المستقبلية للمؤسسة الاقتصادية،  بالإضافة إلى ذلك يقدم التنبؤ بالاحتياجات المالية فرصة لرؤية متقدمة حول موقف المؤسسة المالي وربحيتها في المستقبل مما يمكن إدارة المؤسسة من اتخاذ الإجراءات الصحيحة إذا لزم الأمر،   ومن بين أهم الأساليب نجد الميزانية التقديرية وتحليل الانحدار وأسلوب النسبة المئوية من المبيعات.  حيث يساهم في فهم وتحليل تدفقات والإحتياجات النقدية للمؤسسة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