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تعد فكرة الجريمة حادثة قانونية مجردة،</w:t>
      </w:r>
    </w:p>
    <w:p>
      <w:pPr/>
      <w:r>
        <w:rPr>
          <w:shd w:val="clear" w:fill="eeee80"/>
        </w:rPr>
        <w:t xml:space="preserve"> بوصفها اعتداءً على حق الدولة وحدها قادرة على احتواء ما تفجّره الجريمة من أضرار في النسيج الاجتماعي ولهذا ظل التساؤل الذي يحكم السياسة الجنائية منذ تكوينها مفتوحًا،</w:t>
      </w:r>
    </w:p>
    <w:p>
      <w:pPr/>
      <w:r>
        <w:rPr/>
        <w:t xml:space="preserve"> هل تقاس العدالة بحدود ما تُنزله بالجاني من ألم،</w:t>
      </w:r>
    </w:p>
    <w:p>
      <w:pPr/>
      <w:r>
        <w:rPr>
          <w:shd w:val="clear" w:fill="eeee80"/>
        </w:rPr>
        <w:t xml:space="preserve"> أم بمقدار ما تعيد إلى الجماعة من الاستقرار لتوطيد السلم المجتمعي؟ لقد اختبرت المجتمعات سابقا الثأر فنتج العنف من العنف،</w:t>
      </w:r>
    </w:p>
    <w:p>
      <w:pPr/>
      <w:r>
        <w:rPr>
          <w:shd w:val="clear" w:fill="eeee80"/>
        </w:rPr>
        <w:t xml:space="preserve"> وجرّبت السجن فتحوّلت الاجهزة العقابية التأديبية معظمها إلى معاهد لتوليد الاجرائم بوتيرة متطورة،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2026-10-13T11:57:19+00:00</dcterms:created>
  <dcterms:modified xsi:type="dcterms:W3CDTF">2026-10-13T11:57:19+00:00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