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تستندً هذه الأفكار إلى ان فلسطين إن لم تكن كياناً سياسياً موحدا وكانت مقسمة على مجموعة من الألوية لكنها كانت منسجمة اجتماعياً تربطها علاقات تتسم أحياناً بالترابط وأحيان أخرى بالتنافس.</w:t>
      </w:r>
    </w:p>
    <w:p>
      <w:pPr/>
      <w:r>
        <w:rPr>
          <w:shd w:val="clear" w:fill="eeee80"/>
        </w:rPr>
        <w:t xml:space="preserve"> كما أن تشكل متصرفية القدس أسهمت في بداية تشكل كيانية فلسطين مركزها القدس ومن رواد هذه الأفكار عادل مناع وبطرس أبو منة.</w:t>
      </w:r>
    </w:p>
    <w:p>
      <w:pPr/>
      <w:r>
        <w:rPr>
          <w:shd w:val="clear" w:fill="eeee80"/>
        </w:rPr>
        <w:t xml:space="preserve">يقول هذا الرأي أيضاً أن وعي الفلسطينيين بأنفسهم سبق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2026-10-19T10:05:55+00:00</dcterms:created>
  <dcterms:modified xsi:type="dcterms:W3CDTF">2026-10-19T10:05:55+00:00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