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أذِنَ النَّبيُّ فلفل للصَّحابةِ جميعًا بكتابةِ القُرآنِ الكريمِ،</w:t>
      </w:r>
    </w:p>
    <w:p>
      <w:pPr/>
      <w:r>
        <w:rPr/>
        <w:t xml:space="preserve"> كما جاءَ في حديثِ أبي سعيدِ الخدريِّ: (لا تكْتبوا عنّي ومَنْ كتَبَ عنّي غيرَ القُرآنِ فلْيمْحُهُ) [مسلم)، ولكنَّ النَّبيَّ لَلي لمْ يَعتمدْ علَى كتاباتِ الصَّحابةِ، بلِ اتَّخذَ كُتّابًا خاصّينَ لكتابةِ الوحْي، فكانوا يكتبونَ القُرآنَ فورَ نُزولِهِ، عنِ البراءِ بنِ عازبٍ (ي) قالَ: "لمّا نزلتْ . ( لَا يَسْتَوِى الْقَاعِدُونَ مِنَ ٱلْمُؤْمِنِينَ ) [النساء: 95] دَعا رسولُ اللهِ زيدًا فكتَبَها، فجاءَ ابنُ أمِّ مكتوم فشكا ضرارَتَهُ فأنزلَ الله تعالى ( غَيْرُ أُوْلِى الضَّرَرِ ) [النساء: 95] "[رواه البخاري]،</w:t>
      </w:r>
    </w:p>
    <w:p>
      <w:pPr/>
      <w:r>
        <w:rPr>
          <w:shd w:val="clear" w:fill="eeee80"/>
        </w:rPr>
        <w:t xml:space="preserve"> وقدْ كُتِبَ القُرآنُ كلَّهُ في حضرة النَّبَيِّ فلف بأمرِ منهُ وبِرعايتِهِ،</w:t>
      </w:r>
    </w:p>
    <w:p>
      <w:pPr/>
      <w:r>
        <w:rPr/>
        <w:t xml:space="preserve"> منذُ بدايةِ نزولِ الوحيِ إلى آخِرِ آيةِ نزلتْ منَ القُرآنِ الكَريمِ.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2026-08-21T12:27:05+00:00</dcterms:created>
  <dcterms:modified xsi:type="dcterms:W3CDTF">2026-08-21T12:27:05+00:00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