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/>
        <w:t xml:space="preserve">While America is a land of abundance, it's also a land with a waste problem.Aim for furniture and textiles crafted from natural or recyclable materials whenever possible.Cut down on resource-intensive items such as clothes, plastics, and processed foods.- And while a few take more thought and planning, such as building a selection of permanent-use products, others only take wanting to make a change:Buy items that don't have a lot of packaging, or opt for recyclable packaging when you can.Cut down on single-use items like plastic bottles, paper plates, and aluminum foil.Invest in reusable bags, water containers, and more.Recycle paper, plastics, glass, and metals whenever possible.Choose refillable containers when you can.</w:t>
      </w:r>
    </w:p>
    <w:sectPr>
      <w:footerReference w:type="default" r:id="rId7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hyperlink r:id="rId1" w:history="1">
      <w:r>
        <w:t xml:space="preserve">تم تلخيص النص بواسطة موقع لخصلي © lakhasly.com</w:t>
      </w:r>
    </w:hyperlink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_rels/footer1.xml.rels><?xml version="1.0" encoding="UTF-8" standalone="yes"?>
<Relationships xmlns="http://schemas.openxmlformats.org/package/2006/relationships"><Relationship Id="rId1" Type="http://schemas.openxmlformats.org/officeDocument/2006/relationships/hyperlink" Target="https://lakhasly.com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2026-11-08T12:11:17+00:00</dcterms:created>
  <dcterms:modified xsi:type="dcterms:W3CDTF">2026-11-08T12:11:17+00:00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