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القاعدة الأولى: علل الأحكام تطلب من النص ابتداءً،</w:t>
      </w:r>
    </w:p>
    <w:p>
      <w:pPr/>
      <w:r>
        <w:rPr>
          <w:shd w:val="clear" w:fill="eeee80"/>
        </w:rPr>
        <w:t xml:space="preserve">قد مر معنا فيما سبق مسالك طلب العلة،</w:t>
      </w:r>
    </w:p>
    <w:p>
      <w:pPr/>
      <w:r>
        <w:rPr>
          <w:shd w:val="clear" w:fill="eeee80"/>
        </w:rPr>
        <w:t xml:space="preserve"> وأن أول تلك المسالك: طلب العلة من النص الشرعي،</w:t>
      </w:r>
    </w:p>
    <w:p>
      <w:pPr/>
      <w:r>
        <w:rPr>
          <w:shd w:val="clear" w:fill="eeee80"/>
        </w:rPr>
        <w:t xml:space="preserve"> وعليه ينبغي لمن طلب التماس العلة أن يلتمسها من النص أولاً،</w:t>
      </w:r>
    </w:p>
    <w:p>
      <w:pPr/>
      <w:r>
        <w:rPr>
          <w:shd w:val="clear" w:fill="eeee80"/>
        </w:rPr>
        <w:t xml:space="preserve"> فإذا كانت العلة منصوصة وجب الوقوف حيث نص الشارع،</w:t>
      </w:r>
    </w:p>
    <w:p>
      <w:pPr/>
      <w:r>
        <w:rPr>
          <w:shd w:val="clear" w:fill="eeee80"/>
        </w:rPr>
        <w:t xml:space="preserve"> وإن لم تكن العلة منصوصة فينظر حينها في الإجماع،</w:t>
      </w:r>
    </w:p>
    <w:p>
      <w:pPr/>
      <w:r>
        <w:rPr>
          <w:shd w:val="clear" w:fill="eeee80"/>
        </w:rPr>
        <w:t xml:space="preserve">قال العلامة ابن القيم رحمه الله: ((والقرآن وسنة رسول الله-صلى الله عليه وسلم- مملوآن من تعليل الأحكام بالحكم والمصالح،</w:t>
      </w:r>
    </w:p>
    <w:p>
      <w:pPr/>
      <w:r>
        <w:rPr>
          <w:shd w:val="clear" w:fill="eeee80"/>
        </w:rPr>
        <w:t xml:space="preserve"> والتنبيه على وجوه الحكم التي لأجلها شرع تلك الأحكام،</w:t>
      </w:r>
    </w:p>
    <w:p>
      <w:pPr/>
      <w:r>
        <w:rPr>
          <w:shd w:val="clear" w:fill="eeee80"/>
        </w:rPr>
        <w:t xml:space="preserve"> ولو كان هذا في القرآن والسنة في نحو مائة موضع أو مائتين لسقناها،</w:t>
      </w:r>
    </w:p>
    <w:p>
      <w:pPr/>
      <w:r>
        <w:rPr>
          <w:shd w:val="clear" w:fill="eeee80"/>
        </w:rPr>
        <w:t xml:space="preserve"> ولكنه يزيد على ألف موضع بطرق متنوعة: فتارة يذكر: (لام التعليل) الصريحة،</w:t>
      </w:r>
    </w:p>
    <w:p>
      <w:pPr/>
      <w:r>
        <w:rPr>
          <w:shd w:val="clear" w:fill="eeee80"/>
        </w:rPr>
        <w:t xml:space="preserve"> وتارة يذكر: (المفعول لأجله) الذي هو المقصود بالفعل،</w:t>
      </w:r>
    </w:p>
    <w:p>
      <w:pPr/>
      <w:r>
        <w:rPr>
          <w:shd w:val="clear" w:fill="eeee80"/>
        </w:rPr>
        <w:t xml:space="preserve"> وتارة يذكر: (من أجل) الصريحة في التعليل،</w:t>
      </w:r>
    </w:p>
    <w:p>
      <w:pPr/>
      <w:r>
        <w:rPr>
          <w:shd w:val="clear" w:fill="eeee80"/>
        </w:rPr>
        <w:t xml:space="preserve"> وتارة يذكر: (الفاء) و(أن) وتارة يذكر: (أداة لعل) المتضمنة للتعليل المجردة عن معنى الرجاء المضاف إلى المخلوق،</w:t>
      </w:r>
    </w:p>
    <w:p>
      <w:pPr/>
      <w:r>
        <w:rPr>
          <w:shd w:val="clear" w:fill="eeee80"/>
        </w:rPr>
        <w:t xml:space="preserve"> وتارة ينبه على السبب يذكره صريحاً،</w:t>
      </w:r>
    </w:p>
    <w:p>
      <w:pPr/>
      <w:r>
        <w:rPr>
          <w:shd w:val="clear" w:fill="eeee80"/>
        </w:rPr>
        <w:t xml:space="preserve"> وتارة يذكر الأوصاف المشتقة المناسبة لتلك الأحكام ثم يرتبها عليها ترتيب المسببات على أسبابها،</w:t>
      </w:r>
    </w:p>
    <w:p>
      <w:pPr/>
      <w:r>
        <w:rPr>
          <w:shd w:val="clear" w:fill="eeee80"/>
        </w:rPr>
        <w:t xml:space="preserve"> وتارة ينكر على من زعم أنه خلق خلقه وشرع دينه عبثاً وسدىً،</w:t>
      </w:r>
    </w:p>
    <w:p>
      <w:pPr/>
      <w:r>
        <w:rPr>
          <w:shd w:val="clear" w:fill="eeee80"/>
        </w:rPr>
        <w:t xml:space="preserve"> إلى أن قال: وإذا تأملت الشريعة التي بعث الله بها رسوله حق التأمل وجدتها من أولها إلى آخرها شاهدة بذلك ناطقة به،</w:t>
      </w:r>
    </w:p>
    <w:p>
      <w:pPr/>
      <w:r>
        <w:rPr>
          <w:shd w:val="clear" w:fill="eeee80"/>
        </w:rPr>
        <w:t xml:space="preserve"> ووجدت الحكمة والمصلحة والعدل والرحمة بادياً على صفحاتها،</w:t>
      </w:r>
    </w:p>
    <w:p>
      <w:pPr/>
      <w:r>
        <w:rPr>
          <w:shd w:val="clear" w:fill="eeee80"/>
        </w:rPr>
        <w:t xml:space="preserve"> يدعو العقول والألباب إليها))[20].</w:t>
      </w:r>
    </w:p>
    <w:p>
      <w:pPr/>
      <w:r>
        <w:rPr>
          <w:shd w:val="clear" w:fill="eeee80"/>
        </w:rPr>
        <w:t xml:space="preserve">وإذا كانت هناك علتان للحكم إحداهما منصوصة والأخرى مستنبطة،</w:t>
      </w:r>
    </w:p>
    <w:p>
      <w:pPr/>
      <w:r>
        <w:rPr>
          <w:shd w:val="clear" w:fill="eeee80"/>
        </w:rPr>
        <w:t xml:space="preserve">ومن أمثلة ذلك قوله صلى الله عليه وسلم: ((إذا وقع الذباب في إناء أحدكم فليغمسه كله،</w:t>
      </w:r>
    </w:p>
    <w:p>
      <w:pPr/>
      <w:r>
        <w:rPr>
          <w:shd w:val="clear" w:fill="eeee80"/>
        </w:rPr>
        <w:t xml:space="preserve"> فإن في أحد جناحيه شفاء،</w:t>
      </w:r>
    </w:p>
    <w:p>
      <w:pPr/>
      <w:r>
        <w:rPr>
          <w:shd w:val="clear" w:fill="eeee80"/>
        </w:rPr>
        <w:t xml:space="preserve">فحكم الغمس في الحديث معلل بأن: ((في أحد جناحيه شفاء وفي الآخر داء))،</w:t>
      </w:r>
    </w:p>
    <w:p>
      <w:pPr/>
      <w:r>
        <w:rPr>
          <w:shd w:val="clear" w:fill="eeee80"/>
        </w:rPr>
        <w:t xml:space="preserve"> فتقدم على العلة المستنبطة بأن: (الذباب لا نفس له سائلة).</w:t>
      </w:r>
    </w:p>
    <w:p>
      <w:pPr/>
      <w:r>
        <w:rPr>
          <w:shd w:val="clear" w:fill="eeee80"/>
        </w:rPr>
        <w:t xml:space="preserve">والأخذ بالعلة المنصوصة هنا يجعل الحكم قاصراً على الذباب،</w:t>
      </w:r>
    </w:p>
    <w:p>
      <w:pPr/>
      <w:r>
        <w:rPr>
          <w:shd w:val="clear" w:fill="eeee80"/>
        </w:rPr>
        <w:t xml:space="preserve"> وأما مع العلة المستنبطة فالحكم يُعدى إلى: كل ما لا نفس له سائلة.</w:t>
      </w:r>
    </w:p>
    <w:p>
      <w:pPr/>
      <w:r>
        <w:rPr>
          <w:shd w:val="clear" w:fill="eeee80"/>
        </w:rPr>
        <w:t xml:space="preserve">قال ابن دقيق العيد: ((ورد النص في الذباب فعدوه إلى كل ما لا نفس له سائلة،</w:t>
      </w:r>
    </w:p>
    <w:p>
      <w:pPr/>
      <w:r>
        <w:rPr>
          <w:shd w:val="clear" w:fill="eeee80"/>
        </w:rPr>
        <w:t xml:space="preserve"> وفيه نظر لجواز أن تكون العلة في الذباب قاصرة وهي: عموم البلوى به،</w:t>
      </w:r>
    </w:p>
    <w:p>
      <w:pPr/>
      <w:r>
        <w:rPr>
          <w:shd w:val="clear" w:fill="eeee80"/>
        </w:rPr>
        <w:t xml:space="preserve"> أو التعليل بأن: في أحد جناحيه داء وفي الآخر شفاء وهذه منصوصة،</w:t>
      </w:r>
    </w:p>
    <w:p>
      <w:pPr/>
      <w:r>
        <w:rPr>
          <w:shd w:val="clear" w:fill="eeee80"/>
        </w:rPr>
        <w:t xml:space="preserve"> فيبعد كون العلة مجرد كونه لا دم له سائل،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2026-09-08T01:11:05+00:00</dcterms:created>
  <dcterms:modified xsi:type="dcterms:W3CDTF">2026-09-08T01:11:05+00:00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