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This common CLIA method involves an enzyme, usually horseradish peroxidase (HRP) or alkaline phosphatase (AP), conjugated to a secondary antibody.</w:t>
      </w:r>
    </w:p>
    <w:p>
      <w:pPr/>
      <w:r>
        <w:rPr/>
        <w:t xml:space="preserve"> This HRP– or secondary antibody complex AP– then catalyzes the conversion of chemiluminescent substrate, luminol, and CSPD reagent respectively. These substrates, when oxidized, provide an easy means of signal detection and quantification due to prolonged signal emission. </w:t>
      </w:r>
    </w:p>
    <w:p>
      <w:pPr/>
      <w:r>
        <w:rPr>
          <w:shd w:val="clear" w:fill="eeee80"/>
        </w:rPr>
        <w:t xml:space="preserve">(Shimadzu, 2021)</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2026-10-18T07:55:11+00:00</dcterms:created>
  <dcterms:modified xsi:type="dcterms:W3CDTF">2026-10-18T07:55:11+00:00</dcterms:modified>
</cp:coreProperties>
</file>

<file path=docProps/custom.xml><?xml version="1.0" encoding="utf-8"?>
<Properties xmlns="http://schemas.openxmlformats.org/officeDocument/2006/custom-properties" xmlns:vt="http://schemas.openxmlformats.org/officeDocument/2006/docPropsVTypes"/>
</file>