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hd w:val="clear" w:fill="eeee80"/>
        </w:rPr>
        <w:t xml:space="preserve">تطبيق قانون القيمة المضافة على العقارات بشكل واقعي ينسجم مع أسعارها الحقيقية في السوق بحيث يدفع المواطن الذي يملك أكثر من عقار سكني وخصوصاً في منطقة واحدة ضريبة تجارية حقيقية وليست وهمية تزداد سنوياً حسب فترة امتلاكه للعقار.</w:t>
      </w:r>
    </w:p>
    <w:p>
      <w:pPr/>
      <w:r>
        <w:rPr/>
        <w:t xml:space="preserve">2-    إنشاء مؤسسات تقنية فنية متخصصة بتقييم أسعار العقار على اختلاف أنواعه (سكني – صناعي – تجاري – سياحي – أرض زراعية – أو منظمة .</w:t>
      </w:r>
    </w:p>
    <w:p>
      <w:pPr/>
      <w:r>
        <w:rPr>
          <w:shd w:val="clear" w:fill="eeee80"/>
        </w:rPr>
        <w:t xml:space="preserve"> ) تحوي خبراء عقاريين وتجار ومهندسين وحقوقيين تمنح شهادات تقييم سنوية أو حسب الحال للعفار المعروض للبيع أو للإيجار،</w:t>
      </w:r>
    </w:p>
    <w:p>
      <w:pPr/>
      <w:r>
        <w:rPr/>
        <w:t xml:space="preserve"> ولا يجوز اتمام عملية البيع والشراء دون هذا التقييم الذي يوزع دورياً على مكاتب الوساطة العقارية التي يجب أن تكون مرخصة أصولاً وفق شروط منطقية.</w:t>
      </w:r>
    </w:p>
    <w:p>
      <w:pPr/>
      <w:r>
        <w:rPr>
          <w:shd w:val="clear" w:fill="eeee80"/>
        </w:rPr>
        <w:t xml:space="preserve">3-    إنشاء نقابة للوسطاء العقاريين والشركات العقارية تحافظ على حقوقهم وتطالبهم بدفع الضرائب عن عمليات البيع والشراء والوساطة وتحدد شروط تنظيم مهنة الوساطة العقارية.</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2024-03-29T11:20:07+00:00</dcterms:created>
  <dcterms:modified xsi:type="dcterms:W3CDTF">2024-03-29T11:20:07+00:00</dcterms:modified>
</cp:coreProperties>
</file>

<file path=docProps/custom.xml><?xml version="1.0" encoding="utf-8"?>
<Properties xmlns="http://schemas.openxmlformats.org/officeDocument/2006/custom-properties" xmlns:vt="http://schemas.openxmlformats.org/officeDocument/2006/docPropsVTypes"/>
</file>