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تأثيرات الأزمة على الفكر الاقتصادي:</w:t>
      </w:r>
    </w:p>
    <w:p>
      <w:pPr/>
      <w:r>
        <w:rPr>
          <w:shd w:val="clear" w:fill="eeee80"/>
        </w:rPr>
        <w:t xml:space="preserve"> مثل فرضية كفاءة السوق،</w:t>
      </w:r>
    </w:p>
    <w:p>
      <w:pPr/>
      <w:r>
        <w:rPr>
          <w:shd w:val="clear" w:fill="eeee80"/>
        </w:rPr>
        <w:t xml:space="preserve"> التي تفترض أن الأسواق المالية تتسم بالكفاءة والرشادة.</w:t>
      </w:r>
    </w:p>
    <w:p>
      <w:pPr/>
      <w:r>
        <w:rPr>
          <w:shd w:val="clear" w:fill="eeee80"/>
        </w:rPr>
        <w:t xml:space="preserve">زادت الأزمة من الاهتمام بالاقتصاد الكلي،</w:t>
      </w:r>
    </w:p>
    <w:p>
      <w:pPr/>
      <w:r>
        <w:rPr>
          <w:shd w:val="clear" w:fill="eeee80"/>
        </w:rPr>
        <w:t xml:space="preserve"> وأهمية الاستقرار المالي.</w:t>
      </w:r>
    </w:p>
    <w:p>
      <w:pPr/>
      <w:r>
        <w:rPr>
          <w:shd w:val="clear" w:fill="eeee80"/>
        </w:rPr>
        <w:t xml:space="preserve">تم التركيز بشكل كبير على أسباب الأزمة،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2026-08-30T14:47:37+00:00</dcterms:created>
  <dcterms:modified xsi:type="dcterms:W3CDTF">2026-08-30T14:47:37+00:00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