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 يجب أن تكون مقارنة امليزانية بالنتائج الفعلية على أساس قابل للمقارنة باستخدام نفس األساس</w:t>
      </w:r>
    </w:p>
    <w:p>
      <w:pPr/>
      <w:r>
        <w:rPr>
          <w:shd w:val="clear" w:fill="eeee80"/>
        </w:rPr>
        <w:t xml:space="preserve">املحاسبي والتصنيف والكيانات والفترة الزمنية كما هي للموازنة املصادق عليها،</w:t>
      </w:r>
    </w:p>
    <w:p>
      <w:pPr/>
      <w:r>
        <w:rPr>
          <w:shd w:val="clear" w:fill="eeee80"/>
        </w:rPr>
        <w:t xml:space="preserve"> يمكن أن يختلف األساس املحاسبي املستخدم في إعداد امليزانية عن ذلك املستخدم في القوائم املالية</w:t>
      </w:r>
    </w:p>
    <w:p>
      <w:pPr/>
      <w:r>
        <w:rPr>
          <w:shd w:val="clear" w:fill="eeee80"/>
        </w:rPr>
        <w:t xml:space="preserve">مثال: تكون القوائم املالية على أساس االستحقاق و امليزانية على األساس النقدي(.</w:t>
      </w:r>
    </w:p>
    <w:p>
      <w:pPr/>
      <w:r>
        <w:rPr/>
        <w:t xml:space="preserve">تسجيل املعلومات املالية والنظام املحاسبي املعمول به قادرا على تسهيل املقارنة مع امليزانية.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2026-09-13T18:50:43+00:00</dcterms:created>
  <dcterms:modified xsi:type="dcterms:W3CDTF">2026-09-13T18:50:43+00:00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