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transition impedance in form of a resistor or reactor consists of one or moreunits that are bridging adjacent taps for transferring load from one tap to theother without interruption or appreciable change in the load current.Normally, reactor type OLTCs use the bridging position as a serviceposition and, therefore, the reactor is designed for continuous loading. Depending on the various winding arrangements and OLTCdesigns,separate selector switches and changeover selectors (reversing orcoarse type) are used in additionThe main componentsof an OLTC are contact systems for make and break currents as well as carryingcurrents, transition impedances, gearings, spring energy accumulators and adrive mechanism.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2026-10-07T21:47:05+00:00</dcterms:created>
  <dcterms:modified xsi:type="dcterms:W3CDTF">2026-10-07T21:47:05+00:00</dcterms:modified>
</cp:coreProperties>
</file>

<file path=docProps/custom.xml><?xml version="1.0" encoding="utf-8"?>
<Properties xmlns="http://schemas.openxmlformats.org/officeDocument/2006/custom-properties" xmlns:vt="http://schemas.openxmlformats.org/officeDocument/2006/docPropsVTypes"/>
</file>