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الأهمية العملية لهذا البحث في تقديم قاعدة تحليلية يمكن أن تستفيد منها المؤسسات العسكرية والأمنية وصناع القرار في فهم طبيعة التهديدات الرقمية،  واليات تنسيق الهجمات السيبرانية والإلكترونية،  ويسهم البحث في دعم تطوير استراتيجيات وسياسات دفاعية وهجومية فعالة،  كما يساعد البحث على تحسين القدرة على مواجهة التهديدات الرقمية وتقليل اثارها على الامن الوطني والاستقرار،  مع تعزيز فعالية التخطيط الاستراتيجي في بيئة المعركة الرقمية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