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‎ • أعاد الاقتصادي ميلتون فريدمان صياغة النظرية النقدية التقليدية،</w:t>
      </w:r>
    </w:p>
    <w:p>
      <w:pPr/>
      <w:r>
        <w:rPr/>
        <w:t xml:space="preserve"> مشيرًا إلى أن التضخم هو دائمًا وأبدًا ظاهرة نقدية.</w:t>
      </w:r>
    </w:p>
    <w:p>
      <w:pPr/>
      <w:r>
        <w:rPr>
          <w:shd w:val="clear" w:fill="eeee80"/>
        </w:rPr>
        <w:t xml:space="preserve">‎ • يرى أن التضخم يحدث عندما تنمو كمية النقود في الاقتصاد بمعدل أسرع من نمو الناتج الحقيقي.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2026-09-13T03:31:04+00:00</dcterms:created>
  <dcterms:modified xsi:type="dcterms:W3CDTF">2026-09-13T03:31:04+00:00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