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أصبح التحول الرقمى هدفا ً أساسيا ً لكافة البنوك حيث يقود الستحداث أنماط جديدة والتحول نحو</w:t>
      </w:r>
    </w:p>
    <w:p>
      <w:pPr/>
      <w:r>
        <w:rPr/>
        <w:t xml:space="preserve">مجتمع معلوماتى وصوال ً لتحقيق األهداف الشاملة للتنمية المستدامة.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2026-08-29T16:15:44+00:00</dcterms:created>
  <dcterms:modified xsi:type="dcterms:W3CDTF">2026-08-29T16:15:44+00:00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