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مكان مخصص لإيداع الأشخاص المتورطين في قضايا جنائية أو جنحية تحت الحراسة النظرية،  رهن إشارة ضباط الشرطة القضائية لفائدة البحث.  وهي موجودة بجميع مقرات ولايات الأمن والأمن الجهوي والإقليمي والمناطق الإقليمية والمناطق والمفوضيات الجهوية.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