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وفي المقابل تعتمد الدرجة الحقيقية للفرد كمتغير نفسي كلية على عملية القياس المستخدمة،</w:t>
      </w:r>
    </w:p>
    <w:p>
      <w:pPr/>
      <w:r>
        <w:rPr/>
        <w:t xml:space="preserve"> فأي أخطاء منتظمة أو مظاهر تحيز لاختبار معين تعزى للدرجة الحقيقية النفسية للفرد في ذلك الاختبار،</w:t>
      </w:r>
    </w:p>
    <w:p>
      <w:pPr/>
      <w:r>
        <w:rPr>
          <w:shd w:val="clear" w:fill="eeee80"/>
        </w:rPr>
        <w:t xml:space="preserve"> كما أن الدرجة الحقيقية النفسية عبارة عن مفهوم إحصائي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2026-10-09T10:15:02+00:00</dcterms:created>
  <dcterms:modified xsi:type="dcterms:W3CDTF">2026-10-09T10:15:02+00:00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