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-نظرية الادب والتاريخ والنقد</w:t>
      </w:r>
    </w:p>
    <w:p>
      <w:pPr/>
      <w:r>
        <w:rPr/>
        <w:t xml:space="preserve"> التطبيق يسبق التنظير،</w:t>
      </w:r>
    </w:p>
    <w:p>
      <w:pPr/>
      <w:r>
        <w:rPr>
          <w:shd w:val="clear" w:fill="eeee80"/>
        </w:rPr>
        <w:t xml:space="preserve"> هذه القاعدة البدهية في العلوم الطبيعية صحيحة أيضًا في العلوم الإنسانية،</w:t>
      </w:r>
    </w:p>
    <w:p>
      <w:pPr/>
      <w:r>
        <w:rPr>
          <w:shd w:val="clear" w:fill="eeee80"/>
        </w:rPr>
        <w:t xml:space="preserve"> فلا يمكن عمليا وضع النظرية قبل إجراء البحث في الوقائع والظواهر سواء أكانت طبيعية أم اجتماعية.</w:t>
      </w:r>
    </w:p>
    <w:p>
      <w:pPr/>
      <w:r>
        <w:rPr>
          <w:shd w:val="clear" w:fill="eeee80"/>
        </w:rPr>
        <w:t xml:space="preserve">نظرية الأدب والتاريخ والنقد</w:t>
      </w:r>
    </w:p>
    <w:p>
      <w:pPr/>
      <w:r>
        <w:rPr>
          <w:shd w:val="clear" w:fill="eeee80"/>
        </w:rPr>
        <w:t xml:space="preserve">- هذه الوقائع أو الظواهر في الأدب هي الأعمال الأدبية،</w:t>
      </w:r>
    </w:p>
    <w:p>
      <w:pPr/>
      <w:r>
        <w:rPr>
          <w:shd w:val="clear" w:fill="eeee80"/>
        </w:rPr>
        <w:t xml:space="preserve"> وهي مادة ترتبط بالإنسان المرسل والمستقبل،</w:t>
      </w:r>
    </w:p>
    <w:p>
      <w:pPr/>
      <w:r>
        <w:rPr>
          <w:shd w:val="clear" w:fill="eeee80"/>
        </w:rPr>
        <w:t xml:space="preserve"> وبالظروف الثقافية والاجتماعية والسياسية والاقتصادية التي تحيط بالاثنين: الأول من جهة الإبداع،</w:t>
      </w:r>
    </w:p>
    <w:p>
      <w:pPr/>
      <w:r>
        <w:rPr/>
        <w:t xml:space="preserve">ولا شك في أن عملية الإبداع معقدة جدا،</w:t>
      </w:r>
    </w:p>
    <w:p>
      <w:pPr/>
      <w:r>
        <w:rPr>
          <w:shd w:val="clear" w:fill="eeee80"/>
        </w:rPr>
        <w:t xml:space="preserve"> وفردية،</w:t>
      </w:r>
    </w:p>
    <w:p>
      <w:pPr/>
      <w:r>
        <w:rPr>
          <w:shd w:val="clear" w:fill="eeee80"/>
        </w:rPr>
        <w:t xml:space="preserve"> لا يمكن أن توضع فيها قوانين عامة تنطبق على كل الحالات،</w:t>
      </w:r>
    </w:p>
    <w:p>
      <w:pPr/>
      <w:r>
        <w:rPr/>
        <w:t xml:space="preserve"> وإنما فيها قوانين عامة تنبع من أن المبدع إنسان،</w:t>
      </w:r>
    </w:p>
    <w:p>
      <w:pPr/>
      <w:r>
        <w:rPr>
          <w:shd w:val="clear" w:fill="eeee80"/>
        </w:rPr>
        <w:t xml:space="preserve"> في الوقت نفسه،</w:t>
      </w:r>
    </w:p>
    <w:p>
      <w:pPr/>
      <w:r>
        <w:rPr>
          <w:shd w:val="clear" w:fill="eeee80"/>
        </w:rPr>
        <w:t xml:space="preserve"> فيما يتعلق بالتلقي.</w:t>
      </w:r>
    </w:p>
    <w:p>
      <w:pPr/>
      <w:r>
        <w:rPr/>
        <w:t xml:space="preserve">- كل هذا يجب أن يدرس على مستوى العمل الأدبي الواحد أو الأعمال الكاملة لأديب واحد،</w:t>
      </w:r>
    </w:p>
    <w:p>
      <w:pPr/>
      <w:r>
        <w:rPr>
          <w:shd w:val="clear" w:fill="eeee80"/>
        </w:rPr>
        <w:t xml:space="preserve"> وعندما تتكرر العملية ذاتها إزاء كل الأعمال الأدبية ومبدعيها في مجتمع ما في فترة زمنية معينة فإن دراسة الأدب تكون قد اكتملت.</w:t>
      </w:r>
    </w:p>
    <w:p>
      <w:pPr/>
      <w:r>
        <w:rPr/>
        <w:t xml:space="preserve">وعلى الرغم من تعدد الآراء في أسبقية كل من النقد أو التاريخ على الآخر،</w:t>
      </w:r>
    </w:p>
    <w:p>
      <w:pPr/>
      <w:r>
        <w:rPr>
          <w:shd w:val="clear" w:fill="eeee80"/>
        </w:rPr>
        <w:t xml:space="preserve"> فإننا نعتقد أن التاريخ هو الأول،</w:t>
      </w:r>
    </w:p>
    <w:p>
      <w:pPr/>
      <w:r>
        <w:rPr>
          <w:shd w:val="clear" w:fill="eeee80"/>
        </w:rPr>
        <w:t xml:space="preserve"> إذ لا بد من تحقيق النص ووضعه في إطاره الزماني والمكاني،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2026-08-24T04:35:41+00:00</dcterms:created>
  <dcterms:modified xsi:type="dcterms:W3CDTF">2026-08-24T04:35:41+00:00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