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يتبين إذن أن الوجود مع الغير يؤثر في وجود الانا بالضرورة.</w:t>
      </w:r>
    </w:p>
    <w:p>
      <w:pPr/>
      <w:r>
        <w:rPr>
          <w:shd w:val="clear" w:fill="eeee80"/>
        </w:rPr>
        <w:t xml:space="preserve"> فسواء</w:t>
      </w:r>
    </w:p>
    <w:p>
      <w:pPr/>
      <w:r>
        <w:rPr>
          <w:shd w:val="clear" w:fill="eeee80"/>
        </w:rPr>
        <w:t xml:space="preserve">اعتبرنا بأن هذا التأثير إيجابي أو سلبي إلا أنه محدد للنمط الوجودي للانا،</w:t>
      </w:r>
    </w:p>
    <w:p>
      <w:pPr/>
      <w:r>
        <w:rPr>
          <w:shd w:val="clear" w:fill="eeee80"/>
        </w:rPr>
        <w:t xml:space="preserve">متحررا منها أن بتجاوزها أو إزاحة الاغطية التي تقيمها.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2026-10-31T07:42:10+00:00</dcterms:created>
  <dcterms:modified xsi:type="dcterms:W3CDTF">2026-10-31T07:42:10+00:00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