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 .</w:t>
      </w:r>
    </w:p>
    <w:p>
      <w:pPr/>
      <w:r>
        <w:rPr>
          <w:shd w:val="clear" w:fill="eeee80"/>
        </w:rPr>
        <w:t xml:space="preserve"> لمجلس الوزراء اصدار الانظمة اللازمة لتنفيذ احكام هذا القانون .</w:t>
      </w:r>
    </w:p>
    <w:p>
      <w:pPr/>
      <w:r>
        <w:rPr>
          <w:shd w:val="clear" w:fill="eeee80"/>
        </w:rPr>
        <w:t xml:space="preserve">يلغى كل من :</w:t>
      </w:r>
    </w:p>
    <w:p>
      <w:pPr/>
      <w:r>
        <w:rPr>
          <w:shd w:val="clear" w:fill="eeee80"/>
        </w:rPr>
        <w:t xml:space="preserve">أ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2026-10-11T11:23:58+00:00</dcterms:created>
  <dcterms:modified xsi:type="dcterms:W3CDTF">2026-10-11T11:23:58+00:00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