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 الرقابة القضائية على التزام التشريع بالدستور كانت محل خلاف بين الفقهاء في الدول التي نشأت فيها، كالولايات المتحدة الأمريكية التي تعتبر السوابق القضائية العملية مصدراً لهذه الرقابة لا النص الدستوري،</w:t>
      </w:r>
    </w:p>
    <w:p>
      <w:pPr/>
      <w:r>
        <w:rPr>
          <w:shd w:val="clear" w:fill="eeee80"/>
        </w:rPr>
        <w:t xml:space="preserve"> إلا أن مبدأ الرقابة القضائية على التزام التشريع قد ترسخ في الأذهان والوثائق الدستورية،</w:t>
      </w:r>
    </w:p>
    <w:p>
      <w:pPr/>
      <w:r>
        <w:rPr>
          <w:shd w:val="clear" w:fill="eeee80"/>
        </w:rPr>
        <w:t xml:space="preserve"> وهذا هو حال الرقابة القضائية على التزام التشريع في مصر،</w:t>
      </w:r>
    </w:p>
    <w:p>
      <w:pPr/>
      <w:r>
        <w:rPr>
          <w:shd w:val="clear" w:fill="eeee80"/>
        </w:rPr>
        <w:t xml:space="preserve"> حيث مرت بمراحل وتطورات أدت إلى بروز هذا المبدأ في صميم الوثيقة الدستورية،</w:t>
      </w:r>
    </w:p>
    <w:p>
      <w:pPr/>
      <w:r>
        <w:rPr>
          <w:shd w:val="clear" w:fill="eeee80"/>
        </w:rPr>
        <w:t xml:space="preserve"> حتى أصبح ركيزة من ركائز النظام الدستوري في مصر.</w:t>
      </w:r>
    </w:p>
    <w:p>
      <w:pPr/>
      <w:r>
        <w:rPr/>
        <w:t xml:space="preserve"> ولما كان للقضاء والفقه دور في نشوء هذه الرقابة واستكمالها،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2026-08-23T07:17:33+00:00</dcterms:created>
  <dcterms:modified xsi:type="dcterms:W3CDTF">2026-08-23T07:17:33+00:00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