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دخل مدرسة المعلمين العليا بباريس ليتخرج فيها أستاذًا للأدب،</w:t>
      </w:r>
    </w:p>
    <w:p>
      <w:pPr/>
      <w:r>
        <w:rPr>
          <w:shd w:val="clear" w:fill="eeee80"/>
        </w:rPr>
        <w:t xml:space="preserve"> فما أن استمع فيها إلى لاروميجيير ذات يوم من سنة ١٨١٠ حتى مال إلى الفلسفة وعوَّل على أن يخصص لها حياته،</w:t>
      </w:r>
    </w:p>
    <w:p>
      <w:pPr/>
      <w:r>
        <w:rPr>
          <w:shd w:val="clear" w:fill="eeee80"/>
        </w:rPr>
        <w:t xml:space="preserve"> وفي السنة التالية استمع إلى روايي كولار بكلية الآداب،</w:t>
      </w:r>
    </w:p>
    <w:p>
      <w:pPr/>
      <w:r>
        <w:rPr/>
        <w:t xml:space="preserve"> ثم اتصل بمين دي بيران،</w:t>
      </w:r>
    </w:p>
    <w:p>
      <w:pPr/>
      <w:r>
        <w:rPr>
          <w:shd w:val="clear" w:fill="eeee80"/>
        </w:rPr>
        <w:t xml:space="preserve"> وفي ١٨١٤ عين أستاذًا للفلسفة بمدرسة المعلمين،</w:t>
      </w:r>
    </w:p>
    <w:p>
      <w:pPr/>
      <w:r>
        <w:rPr>
          <w:shd w:val="clear" w:fill="eeee80"/>
        </w:rPr>
        <w:t xml:space="preserve"> وفي ١٨١٥ ندبه روايي كولار ليحل محله بكلية الآداب،</w:t>
      </w:r>
    </w:p>
    <w:p>
      <w:pPr/>
      <w:r>
        <w:rPr/>
        <w:t xml:space="preserve"> فكان محاضرًا بارعًا وفيلسوفًا سطحيًّا، وهكذا كان شأن أستاذيه وشأن مريديه وتلاميذه،</w:t>
      </w:r>
    </w:p>
    <w:p>
      <w:pPr/>
      <w:r>
        <w:rPr>
          <w:shd w:val="clear" w:fill="eeee80"/>
        </w:rPr>
        <w:t xml:space="preserve"> وفي هذه الفترة كان على رأي أساتذته الفرنسيين يجمع إليهم ريد وأتباعه من الأسكتلانديين ورحل إلى ألمانيا ثلاث مرات (١٨١٧،</w:t>
      </w:r>
    </w:p>
    <w:p>
      <w:pPr/>
      <w:r>
        <w:rPr/>
        <w:t xml:space="preserve"> ١٨٢٤) والتقى بشلنج وهجل وأخذ عنهما،</w:t>
      </w:r>
    </w:p>
    <w:p>
      <w:pPr/>
      <w:r>
        <w:rPr>
          <w:shd w:val="clear" w:fill="eeee80"/>
        </w:rPr>
        <w:t xml:space="preserve"> ورقي إلى مرتبه الأشراف،</w:t>
      </w:r>
    </w:p>
    <w:p>
      <w:pPr/>
      <w:r>
        <w:rPr>
          <w:shd w:val="clear" w:fill="eeee80"/>
        </w:rPr>
        <w:t xml:space="preserve"> وعين عضوًا بمجلس شورى الدولة،</w:t>
      </w:r>
    </w:p>
    <w:p>
      <w:pPr/>
      <w:r>
        <w:rPr>
          <w:shd w:val="clear" w:fill="eeee80"/>
        </w:rPr>
        <w:t xml:space="preserve"> فهيمن على التعليم وبرامجه مدة طويلة،</w:t>
      </w:r>
    </w:p>
    <w:p>
      <w:pPr/>
      <w:r>
        <w:rPr>
          <w:shd w:val="clear" w:fill="eeee80"/>
        </w:rPr>
        <w:t xml:space="preserve"> أهم كتبه: كتاب «التاريخ العام للفلسفة» وكتاب «في الحق والجمال والخير» وهو كتاب مشهور نقحه مرارًا.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2026-09-28T16:58:48+00:00</dcterms:created>
  <dcterms:modified xsi:type="dcterms:W3CDTF">2026-09-28T16:58:48+00:00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