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يستدلّ استخدام ريشة لكتابة "gs" (مثل 12d gs) على ذلك، وكذلك عبارات مثل "ER تكون ذراعيه حول والده" في لوفر C.286.  في إدفو، يُستخدم  كـ شوت (راجع VI).  لكن قراءة  -F4-4-  ليست مؤكدة تمامًا؛ اقترح الباحثان قراءة "عبي" أو "خبي"، مع جناس محتمل بينهما، لكنّ الصحيحة تبقى مجهولة.  رغم ملاحظة الدكتور دريتون حول خطأ الكاتب في استخدام w، إلا أنه لم يُعيد إنتاج شكل ١٥ بدقة كما في مثال إدفو،  مما يُبرز أهمية دقة شكل العلامات.  الفرق بين • و ١٥١  مهم لتحديد القيمة الحقيقية،  وقد يكون wbn بديلاً مبسّطاً لـ نخن.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