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الخامس: المسار الشرعي</w:t>
      </w:r>
    </w:p>
    <w:p>
      <w:pPr/>
      <w:r>
        <w:rPr>
          <w:shd w:val="clear" w:fill="eeee80"/>
        </w:rPr>
        <w:t xml:space="preserve">يسعى المسار الشرعي إلى تعزيز الأسس المعرفية والعقدية والفقهية والتعبدية والأخلاقية والسلوكية والقيم الإسلامية والهوية الوطنية،</w:t>
      </w:r>
    </w:p>
    <w:p>
      <w:pPr/>
      <w:r>
        <w:rPr/>
        <w:t xml:space="preserve"> وبناء الشخصية الوسطية لدى الطلاب ليكونوا قادرين على العمل البناء في مجتمعهم، والأحكام الشرعية المستنبطة منهما،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2026-09-20T19:55:26+00:00</dcterms:created>
  <dcterms:modified xsi:type="dcterms:W3CDTF">2026-09-20T19:55:26+00:00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