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العلاقة بين رجال المال والسياسة خلال الحقبة الاستعمارية تكاملاً وثيقاً.  فقد تدخل رجال المال والأعمال في توجيه السياسات الحكومية،  بفضل تمويلهم للدولة، ما سمح بتمويل الجيوش.  وبالتالي، اضطرت الحكومات لخدمة مصالح رجال المال والأعمال من خلال التوسع الاستعماري، لتأمين مصادر المواد الأولية،  وأسواق خارجية،  ومجالات استثمار لرؤوس 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