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Elastic Region:Brittle materials exhibit elastic deformation at the initial segment of the stress-strain curve.</w:t>
      </w:r>
    </w:p>
    <w:p>
      <w:pPr/>
      <w:r>
        <w:rPr/>
        <w:t xml:space="preserve"> This phase manifests as linear behaviour, and the material regains its original shape when the load is removed. </w:t>
      </w:r>
    </w:p>
    <w:p>
      <w:pPr/>
      <w:r>
        <w:rPr>
          <w:shd w:val="clear" w:fill="eeee80"/>
        </w:rPr>
        <w:t xml:space="preserve">The stress-strain relationship during this phase complies with Hooke's law.</w:t>
      </w:r>
    </w:p>
    <w:p>
      <w:pPr/>
      <w:r>
        <w:rPr>
          <w:shd w:val="clear" w:fill="eeee80"/>
        </w:rPr>
        <w:t xml:space="preserve">Elastic Limit:The elastic limit represents the highest stress level a brittle material can endure without incurring permanent deformation.</w:t>
      </w:r>
    </w:p>
    <w:p>
      <w:pPr/>
      <w:r>
        <w:rPr/>
        <w:t xml:space="preserve"> If stress surpasses this threshold, the material won't revert to its initial shape once the load is relieved.</w:t>
      </w:r>
    </w:p>
    <w:p>
      <w:pPr/>
      <w:r>
        <w:rPr>
          <w:shd w:val="clear" w:fill="eeee80"/>
        </w:rPr>
        <w:t xml:space="preserve">Fracture Point:In contrast to ductile materials, which undergo notable plastic deformation, brittle materials encounter a fracture point relatively early within the stress-strain curve.</w:t>
      </w:r>
    </w:p>
    <w:p>
      <w:pPr/>
      <w:r>
        <w:rPr/>
        <w:t xml:space="preserve"> This juncture marks the stress at which the material fractures.</w:t>
      </w:r>
    </w:p>
    <w:p>
      <w:pPr/>
      <w:r>
        <w:rPr>
          <w:shd w:val="clear" w:fill="eeee80"/>
        </w:rPr>
        <w:t xml:space="preserve">Brittle Fracture:Beyond the fracture point, brittle materials experience abrupt and unforewarned failure.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Fracture in brittle materials stands out for its lack of substantial plastic deformation.</w:t>
      </w:r>
    </w:p>
    <w:p>
      <w:pPr/>
      <w:r>
        <w:rPr/>
        <w:t xml:space="preserve"> Resulting fracture surfaces tend to appear smooth and clean.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2026-09-30T21:47:45+00:00</dcterms:created>
  <dcterms:modified xsi:type="dcterms:W3CDTF">2026-09-30T21:47:45+00:00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