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قضيتا كارليل ضد شركة كاربوليك سموك بول،  وبالفور ضد بالفور،  أهمية النية في إنشاء علاقات قانونية،  والتمييز بين الاتفاقيات الاجتماعية والتجارية.  تُوضح قضية سنترال لندن بروبرتي ترست المحدودة ضد هاي تريز هاوس المحدودة دور مبدأ الإلزام بالوعد في ضمان العدالة في التعاملات التعاقدية.  تُبين هذه القضايا كيف تسعى المحاكم إلى تحقيق التوازن بين اليقين والعدالة في حل النزاعات التعاقدية،  بما يضمن أن تعكس النتائج القانونية بنود العقد والأثر العملي لأي إخلال.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