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:المفهوم ومجال التطبيق</w:t>
      </w:r>
    </w:p>
    <w:p>
      <w:pPr/>
      <w:r>
        <w:rPr>
          <w:shd w:val="clear" w:fill="eeee80"/>
        </w:rPr>
        <w:t xml:space="preserve"> يعتبر "الرسم على القيمة المضافة" ضريبة غير مباشرة تفرض على اإلنفاق أو االستهالك النهائي،</w:t>
      </w:r>
    </w:p>
    <w:p>
      <w:pPr/>
      <w:r>
        <w:rPr/>
        <w:t xml:space="preserve">يطبق على العمليات التي تكتسي طابقا صناعيا أو تجاري أو حرفيا أو خدمات المهن الحرة. )باستثناء </w:t>
      </w:r>
    </w:p>
    <w:p>
      <w:pPr/>
      <w:r>
        <w:rPr>
          <w:shd w:val="clear" w:fill="eeee80"/>
        </w:rPr>
        <w:t xml:space="preserve">خدمات القطاع اإلداري العمومي(.</w:t>
      </w:r>
    </w:p>
    <w:p>
      <w:pPr/>
      <w:r>
        <w:rPr>
          <w:shd w:val="clear" w:fill="eeee80"/>
        </w:rPr>
        <w:t xml:space="preserve"> دخل هذا الرسم حيز التطبيق في الجزائر بموجب قانون المالية لسنة </w:t>
      </w:r>
    </w:p>
    <w:p>
      <w:pPr/>
      <w:r>
        <w:rPr>
          <w:shd w:val="clear" w:fill="eeee80"/>
        </w:rPr>
        <w:t xml:space="preserve">1992</w:t>
      </w:r>
    </w:p>
    <w:p>
      <w:pPr/>
      <w:r>
        <w:rPr>
          <w:shd w:val="clear" w:fill="eeee80"/>
        </w:rPr>
        <w:t xml:space="preserve"> إن "الرسم على القيمة المضافة" رسم حيادي ال يؤثر على نتيجة المكلفين القانونيين كون المستهلك </w:t>
      </w:r>
    </w:p>
    <w:p>
      <w:pPr/>
      <w:r>
        <w:rPr/>
        <w:t xml:space="preserve"> تتمثل العمليات الخاضعة لـ "الرسم على القيمة المضافة" وجوبا في :المبيعات و التسليمات التي يقوم بها المنتجون؛</w:t>
      </w:r>
    </w:p>
    <w:p>
      <w:pPr/>
      <w:r>
        <w:rPr>
          <w:shd w:val="clear" w:fill="eeee80"/>
        </w:rPr>
        <w:t xml:space="preserve">عمليات البيع بالجملة؛</w:t>
      </w:r>
    </w:p>
    <w:p>
      <w:pPr/>
      <w:r>
        <w:rPr>
          <w:shd w:val="clear" w:fill="eeee80"/>
        </w:rPr>
        <w:t xml:space="preserve">عمليات المهن الحرة ماعدا التي تكتسي الطابعا الطبي،</w:t>
      </w:r>
    </w:p>
    <w:p>
      <w:pPr/>
      <w:r>
        <w:rPr>
          <w:shd w:val="clear" w:fill="eeee80"/>
        </w:rPr>
        <w:t xml:space="preserve"> والبيطري؛</w:t>
      </w:r>
    </w:p>
    <w:p>
      <w:pPr/>
      <w:r>
        <w:rPr>
          <w:shd w:val="clear" w:fill="eeee80"/>
        </w:rPr>
        <w:t xml:space="preserve">المهرجانات واأللعاب المختلفة؛</w:t>
      </w:r>
    </w:p>
    <w:p>
      <w:pPr/>
      <w:r>
        <w:rPr>
          <w:shd w:val="clear" w:fill="eeee80"/>
        </w:rPr>
        <w:t xml:space="preserve">خدمات الهاتف والتلكس؛</w:t>
      </w:r>
    </w:p>
    <w:p>
      <w:pPr/>
      <w:r>
        <w:rPr/>
        <w:t xml:space="preserve">عمليات البنوك وشركات التأمين .</w:t>
      </w:r>
    </w:p>
    <w:p>
      <w:pPr/>
      <w:r>
        <w:rPr>
          <w:shd w:val="clear" w:fill="eeee80"/>
        </w:rPr>
        <w:t xml:space="preserve">أن يخضعوا لهذا الرسم بشرط أن توجه منتجاتهم إلى التصدير أو الشركات البترولية.</w:t>
      </w:r>
    </w:p>
    <w:p>
      <w:pPr/>
      <w:r>
        <w:rPr>
          <w:shd w:val="clear" w:fill="eeee80"/>
        </w:rPr>
        <w:t xml:space="preserve"> نص قانون الرسوم على رقم األعمال في المواد من 08إلى 13 على جملة من االستثناءات </w:t>
      </w:r>
    </w:p>
    <w:p>
      <w:pPr/>
      <w:r>
        <w:rPr/>
        <w:t xml:space="preserve"> الفضة والبالتين ألنها معنية بـ "رسم الضمان".-عمليات البيع بالتجزئة؛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2026-10-29T11:52:04+00:00</dcterms:created>
  <dcterms:modified xsi:type="dcterms:W3CDTF">2026-10-29T11:52:04+00:00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