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Today, henna's popularity is global, mainly because of emigration and social media.</w:t>
      </w:r>
    </w:p>
    <w:p>
      <w:pPr/>
      <w:r>
        <w:rPr/>
        <w:t xml:space="preserve"> Modern henna artists keep the tradition alive by developing new techniques, methods and patterns. </w:t>
      </w:r>
    </w:p>
    <w:p>
      <w:pPr/>
      <w:r>
        <w:rPr>
          <w:shd w:val="clear" w:fill="eeee80"/>
        </w:rPr>
        <w:t xml:space="preserve">In the UAE, popular designs include intricate flowers, ribbons and net-like arrangements.</w:t>
      </w:r>
    </w:p>
    <w:p>
      <w:pPr/>
      <w:r>
        <w:rPr/>
        <w:t xml:space="preserve"> There is also a growing trend to use gold temporary henna patterns but these are reserved for very special occasions.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2026-09-26T11:46:40+00:00</dcterms:created>
  <dcterms:modified xsi:type="dcterms:W3CDTF">2026-09-26T11:46:40+00:00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