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هذه الدراسة على تأثير الذكاء الوجداني على رضا العاملين وسعادتهم في بيئة العمل،  وذلك باستخدام عينة من 213 مشاركًا (39 امرأة و174 رجلًا).  أظهرت النتائج ميل العاملين نحو مصادر رضا خارجية المنشأ أكثر من مصادر الرضا الداخلية.  كما سجلت الدراسة ارتباطًا إيجابيًا بين الوعي بالذات وضبط الانفعال وبعض مكونات السعادة والرضا الوظيفي.  ووجدت أيضًا علاقة سلبية بين هذين العنصرين ومقياسي القلق والاكتئاب.  وأظهرت نتائج الدراسة وجود علاقة إيجابية بين ضبط الانفعال وعوامل الرضا الداخلية والخارجية، بينما لم تظهر أي علاقة ذات دلالة إحصائية بين الوعي بمشاعر الآخرين وعوامل الدراسة الأخرى.  تُقدم هذه الدراسة قاعدة لبحث تأثير تحفيز الذكاء الوجداني على سعادة ورضا العاملين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