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انصراف ارادة الجاني الى تحقيق هدف من وراء ارتكابه لجريمته كغاية تملك المال بطريق الإختلاس في جريمة السرقة وهو القصد الجنائي الخاص لديه ،</w:t>
      </w:r>
    </w:p>
    <w:p>
      <w:pPr/>
      <w:r>
        <w:rPr>
          <w:shd w:val="clear" w:fill="eeee80"/>
        </w:rPr>
        <w:t xml:space="preserve"> ولا يتوافر الا مع توافر القصد العام وهو ارتكاب جريمة السرقة.</w:t>
      </w:r>
    </w:p>
    <w:p>
      <w:pPr/>
      <w:r>
        <w:rPr/>
        <w:t xml:space="preserve">والقانون يعتبر الغاية في بعض الجرائم عنصرا القصد الجنائي اذا رأى ان خطورة الفعل هي في انصراف نية الجاني الى تحقيق هذه الغاية وليس مجرد توجيه ارادته الى النتيجة ، وفي هذه الحالة يكون الدافع الى ارتكاب الجريمة غاية خاصة وتدخل ضمن القصد الجنائي ويترتب على تخلف الدافع توافر القصد الخاص.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2026-10-14T18:44:03+00:00</dcterms:created>
  <dcterms:modified xsi:type="dcterms:W3CDTF">2026-10-14T18:44:03+00:00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