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Most large or medium-size organizations use computerized accounting systems rather than manual record-keeping systems.</w:t>
      </w:r>
    </w:p>
    <w:p>
      <w:pPr/>
      <w:r>
        <w:rPr/>
        <w:t xml:space="preserve"> However, there are many small organizations that use manual systems, in whole or in part, to maintain accounting records. </w:t>
      </w:r>
    </w:p>
    <w:p>
      <w:pPr/>
      <w:r>
        <w:rPr>
          <w:shd w:val="clear" w:fill="eeee80"/>
        </w:rPr>
        <w:t xml:space="preserve">In addition, even those larger organizations that have computerized aspects of the accounting information system may still have parts of their processes that involve manual records.</w:t>
      </w:r>
    </w:p>
    <w:p>
      <w:pPr/>
      <w:r>
        <w:rPr/>
        <w:t xml:space="preserve"> For example, even if the calculation and printing of a paycheck in an organization are computerized, the employee time card may be completed by hand. Because small organizations often use manual record-keeping systems and even computerized systems may rely on some manual record keeping it is important to examine manual processes in accounting information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2026-10-01T07:24:51+00:00</dcterms:created>
  <dcterms:modified xsi:type="dcterms:W3CDTF">2026-10-01T07:24:51+00:00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