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· قبل السبعينيات: كان التركيز فقط على منع هروب المرضى.</w:t>
      </w:r>
    </w:p>
    <w:p>
      <w:pPr/>
      <w:r>
        <w:rPr>
          <w:shd w:val="clear" w:fill="eeee80"/>
        </w:rPr>
        <w:t xml:space="preserve"> العاملون يواجهون مخاطر دون حماية قانونية تذكر.</w:t>
      </w:r>
    </w:p>
    <w:p>
      <w:pPr/>
      <w:r>
        <w:rPr/>
        <w:t xml:space="preserve">· السبعينيات والثمانينيات: ظهور حركات حقوق المرضى أدى إلى تقليل استخدام القيود الجسدية، مما زاد عبء السلامة على الموظفين.</w:t>
      </w:r>
    </w:p>
    <w:p>
      <w:pPr/>
      <w:r>
        <w:rPr>
          <w:shd w:val="clear" w:fill="eeee80"/>
        </w:rPr>
        <w:t xml:space="preserve">· التسعينيات: الاعتراف بمتلازمة الاحتراق المهني (Burnout) كمرض مهني في مجال الصحة النفسية.</w:t>
      </w:r>
    </w:p>
    <w:p>
      <w:pPr/>
      <w:r>
        <w:rPr>
          <w:shd w:val="clear" w:fill="eeee80"/>
        </w:rPr>
        <w:t xml:space="preserve">· العقد الأول من الألفية الثالثة: إصدار أول معايير JCI خاصة بالسلامة في وحدات الصحة النفسية.</w:t>
      </w:r>
    </w:p>
    <w:p>
      <w:pPr/>
      <w:r>
        <w:rPr>
          <w:shd w:val="clear" w:fill="eeee80"/>
        </w:rPr>
        <w:t xml:space="preserve">· العقد الثاني: دمج السلامة النفسية مع السلامة الجسدية،</w:t>
      </w:r>
    </w:p>
    <w:p>
      <w:pPr/>
      <w:r>
        <w:rPr/>
        <w:t xml:space="preserve"> وظهور برامج دعم الأقران للموظفين.· الحالي: التحول إلى نهج الصحة والسلامة الشامل (Total Worker Health) الذي يشمل العافية المالية والاجتماعية للموظفين.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2026-08-16T03:33:18+00:00</dcterms:created>
  <dcterms:modified xsi:type="dcterms:W3CDTF">2026-08-16T03:33:18+00:00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